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Аудит ИТ- инфраструктуры</w:t>
            </w:r>
          </w:p>
          <w:p>
            <w:pPr>
              <w:jc w:val="center"/>
              <w:spacing w:after="0" w:line="240" w:lineRule="auto"/>
              <w:rPr>
                <w:sz w:val="32"/>
                <w:szCs w:val="32"/>
              </w:rPr>
            </w:pPr>
            <w:r>
              <w:rPr>
                <w:rFonts w:ascii="Times New Roman" w:hAnsi="Times New Roman" w:cs="Times New Roman"/>
                <w:color w:val="#000000"/>
                <w:sz w:val="32"/>
                <w:szCs w:val="32"/>
              </w:rPr>
              <w:t> Б1.В.01.ДВ.02.02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«Аудит ИТ- инфраструктуры»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Б1.В.01.ДВ.02.02 «Аудит ИТ- инфраструктуры».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«Аудит ИТ- инфраструктуры»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знать основы программирования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ИПК-1.4 знать современные объектно-ориентированные языки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ИПК-1.5 знать типовые решения, библиотеки программных модулей, шаблоны, классы объектов, используемые при разработке программного обеспечения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ИПК-1.6 знать современные структурные языки программирования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ИПК-1.7 знать основы верификации программного кода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ИПК-1.9 знать источники информации, необходимой для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современный отечественный и зарубежный опыт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уметь кодировать на языках программирования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верифицировать структуру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выбирать средства реализации требований к программному обеспечению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уметь разрабатывать пользовательскую документацию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ИПК-1.20 владеть навыками разработки прототипа ИС в соответствии с требованиями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владеть навыками проектирования программных интерфейсов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владеть навыками разработки руководства программиста ИС</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владеть навыками проведения презентаций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владеть навыком устранения выявленных несоответствий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83.8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Б1.В.01.ДВ.02.02 «Аудит ИТ- инфраструктуры»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Безопасность в компьютерных сетях</w:t>
            </w:r>
          </w:p>
          <w:p>
            <w:pPr>
              <w:jc w:val="center"/>
              <w:spacing w:after="0" w:line="240" w:lineRule="auto"/>
              <w:rPr>
                <w:sz w:val="22"/>
                <w:szCs w:val="22"/>
              </w:rPr>
            </w:pPr>
            <w:r>
              <w:rPr>
                <w:rFonts w:ascii="Times New Roman" w:hAnsi="Times New Roman" w:cs="Times New Roman"/>
                <w:color w:val="#000000"/>
                <w:sz w:val="22"/>
                <w:szCs w:val="22"/>
              </w:rPr>
              <w:t> Управление ИТ- проектами</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 COBIT. разделение COBIT на управление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концепция аудита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Операционный аудит как современная концепция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стандарт управления информационной безопасностью ISO 17799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для проведения аудита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аудита информационной безопасности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641.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аудита информационных технологий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аудита CobiT. Структура и содержание типового проекта аудита информационных технологий. Этапы ИТ-аудита. Принципы проведения аудита. Инициирование, формирование информационной базы аудита. Оценка соответствия требованиям стандартов. Выработка рекомендаций. Структура отчета по результатам аудита и анализу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безопасности и методы его проведения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построения систем информационной безопасности. Цель и задачи информационной безопасности (ИБ). Угрозы ИБ и их источники. Модель построения системы информационной безопасности предприятия. Разработка концепция обеспечения ИБ. Аудит безопасности и методы его проведения. Понятие аудита безопасности. Методы анализа данных при аудите ИБ. Анализ информационных рисков предприятия. Методы оценивания информационных рисков. Управление информационными рисками.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 COBIT. разделение COBIT на управление и аудит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Управление ИТ по COBIT.</w:t>
            </w:r>
          </w:p>
          <w:p>
            <w:pPr>
              <w:jc w:val="both"/>
              <w:spacing w:after="0" w:line="240" w:lineRule="auto"/>
              <w:rPr>
                <w:sz w:val="24"/>
                <w:szCs w:val="24"/>
              </w:rPr>
            </w:pPr>
            <w:r>
              <w:rPr>
                <w:rFonts w:ascii="Times New Roman" w:hAnsi="Times New Roman" w:cs="Times New Roman"/>
                <w:color w:val="#000000"/>
                <w:sz w:val="24"/>
                <w:szCs w:val="24"/>
              </w:rPr>
              <w:t> 2.	Принципы аудита ИТ, стандарт COBIT.</w:t>
            </w:r>
          </w:p>
          <w:p>
            <w:pPr>
              <w:jc w:val="both"/>
              <w:spacing w:after="0" w:line="240" w:lineRule="auto"/>
              <w:rPr>
                <w:sz w:val="24"/>
                <w:szCs w:val="24"/>
              </w:rPr>
            </w:pPr>
            <w:r>
              <w:rPr>
                <w:rFonts w:ascii="Times New Roman" w:hAnsi="Times New Roman" w:cs="Times New Roman"/>
                <w:color w:val="#000000"/>
                <w:sz w:val="24"/>
                <w:szCs w:val="24"/>
              </w:rPr>
              <w:t> 3.	Этический кодекс аудитора (ассоциация ISACA).</w:t>
            </w:r>
          </w:p>
          <w:p>
            <w:pPr>
              <w:jc w:val="both"/>
              <w:spacing w:after="0" w:line="240" w:lineRule="auto"/>
              <w:rPr>
                <w:sz w:val="24"/>
                <w:szCs w:val="24"/>
              </w:rPr>
            </w:pPr>
            <w:r>
              <w:rPr>
                <w:rFonts w:ascii="Times New Roman" w:hAnsi="Times New Roman" w:cs="Times New Roman"/>
                <w:color w:val="#000000"/>
                <w:sz w:val="24"/>
                <w:szCs w:val="24"/>
              </w:rPr>
              <w:t> 4.	Структура принципов аудита COBIT.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информационной безопасности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Предпосылки создания стандартов ИБ	</w:t>
            </w:r>
          </w:p>
          <w:p>
            <w:pPr>
              <w:jc w:val="both"/>
              <w:spacing w:after="0" w:line="240" w:lineRule="auto"/>
              <w:rPr>
                <w:sz w:val="24"/>
                <w:szCs w:val="24"/>
              </w:rPr>
            </w:pPr>
            <w:r>
              <w:rPr>
                <w:rFonts w:ascii="Times New Roman" w:hAnsi="Times New Roman" w:cs="Times New Roman"/>
                <w:color w:val="#000000"/>
                <w:sz w:val="24"/>
                <w:szCs w:val="24"/>
              </w:rPr>
              <w:t> 2.	Стандарт «Критерии оценки надежности компьютерных систем» (Оранжевая книга)</w:t>
            </w:r>
          </w:p>
          <w:p>
            <w:pPr>
              <w:jc w:val="both"/>
              <w:spacing w:after="0" w:line="240" w:lineRule="auto"/>
              <w:rPr>
                <w:sz w:val="24"/>
                <w:szCs w:val="24"/>
              </w:rPr>
            </w:pPr>
            <w:r>
              <w:rPr>
                <w:rFonts w:ascii="Times New Roman" w:hAnsi="Times New Roman" w:cs="Times New Roman"/>
                <w:color w:val="#000000"/>
                <w:sz w:val="24"/>
                <w:szCs w:val="24"/>
              </w:rPr>
              <w:t> 3.	Гармонизированные критерии Европейских стран………	</w:t>
            </w:r>
          </w:p>
          <w:p>
            <w:pPr>
              <w:jc w:val="both"/>
              <w:spacing w:after="0" w:line="240" w:lineRule="auto"/>
              <w:rPr>
                <w:sz w:val="24"/>
                <w:szCs w:val="24"/>
              </w:rPr>
            </w:pPr>
            <w:r>
              <w:rPr>
                <w:rFonts w:ascii="Times New Roman" w:hAnsi="Times New Roman" w:cs="Times New Roman"/>
                <w:color w:val="#000000"/>
                <w:sz w:val="24"/>
                <w:szCs w:val="24"/>
              </w:rPr>
              <w:t> 4.	Германский стандарт BS1	</w:t>
            </w:r>
          </w:p>
          <w:p>
            <w:pPr>
              <w:jc w:val="both"/>
              <w:spacing w:after="0" w:line="240" w:lineRule="auto"/>
              <w:rPr>
                <w:sz w:val="24"/>
                <w:szCs w:val="24"/>
              </w:rPr>
            </w:pPr>
            <w:r>
              <w:rPr>
                <w:rFonts w:ascii="Times New Roman" w:hAnsi="Times New Roman" w:cs="Times New Roman"/>
                <w:color w:val="#000000"/>
                <w:sz w:val="24"/>
                <w:szCs w:val="24"/>
              </w:rPr>
              <w:t> 5.	Британский стандарт BS 7799	</w:t>
            </w:r>
          </w:p>
          <w:p>
            <w:pPr>
              <w:jc w:val="both"/>
              <w:spacing w:after="0" w:line="240" w:lineRule="auto"/>
              <w:rPr>
                <w:sz w:val="24"/>
                <w:szCs w:val="24"/>
              </w:rPr>
            </w:pPr>
            <w:r>
              <w:rPr>
                <w:rFonts w:ascii="Times New Roman" w:hAnsi="Times New Roman" w:cs="Times New Roman"/>
                <w:color w:val="#000000"/>
                <w:sz w:val="24"/>
                <w:szCs w:val="24"/>
              </w:rPr>
              <w:t> 6.	Международный стандарт ISO 17799	</w:t>
            </w:r>
          </w:p>
          <w:p>
            <w:pPr>
              <w:jc w:val="both"/>
              <w:spacing w:after="0" w:line="240" w:lineRule="auto"/>
              <w:rPr>
                <w:sz w:val="24"/>
                <w:szCs w:val="24"/>
              </w:rPr>
            </w:pPr>
            <w:r>
              <w:rPr>
                <w:rFonts w:ascii="Times New Roman" w:hAnsi="Times New Roman" w:cs="Times New Roman"/>
                <w:color w:val="#000000"/>
                <w:sz w:val="24"/>
                <w:szCs w:val="24"/>
              </w:rPr>
              <w:t> 7.	Международный стандарт ISO 15408	</w:t>
            </w:r>
          </w:p>
          <w:p>
            <w:pPr>
              <w:jc w:val="both"/>
              <w:spacing w:after="0" w:line="240" w:lineRule="auto"/>
              <w:rPr>
                <w:sz w:val="24"/>
                <w:szCs w:val="24"/>
              </w:rPr>
            </w:pPr>
            <w:r>
              <w:rPr>
                <w:rFonts w:ascii="Times New Roman" w:hAnsi="Times New Roman" w:cs="Times New Roman"/>
                <w:color w:val="#000000"/>
                <w:sz w:val="24"/>
                <w:szCs w:val="24"/>
              </w:rPr>
              <w:t> 8.	Стандарты по безопасности информационных технологий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стандарт управления информационной безопасностью ISO 17799</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Назначение стандарта ISO 17799 для управления информационной безопасностью</w:t>
            </w:r>
          </w:p>
          <w:p>
            <w:pPr>
              <w:jc w:val="both"/>
              <w:spacing w:after="0" w:line="240" w:lineRule="auto"/>
              <w:rPr>
                <w:sz w:val="24"/>
                <w:szCs w:val="24"/>
              </w:rPr>
            </w:pPr>
            <w:r>
              <w:rPr>
                <w:rFonts w:ascii="Times New Roman" w:hAnsi="Times New Roman" w:cs="Times New Roman"/>
                <w:color w:val="#000000"/>
                <w:sz w:val="24"/>
                <w:szCs w:val="24"/>
              </w:rPr>
              <w:t> 2.	Практика прохождения аудита и получения сертификата ISO 17799</w:t>
            </w:r>
          </w:p>
          <w:p>
            <w:pPr>
              <w:jc w:val="both"/>
              <w:spacing w:after="0" w:line="240" w:lineRule="auto"/>
              <w:rPr>
                <w:sz w:val="24"/>
                <w:szCs w:val="24"/>
              </w:rPr>
            </w:pPr>
            <w:r>
              <w:rPr>
                <w:rFonts w:ascii="Times New Roman" w:hAnsi="Times New Roman" w:cs="Times New Roman"/>
                <w:color w:val="#000000"/>
                <w:sz w:val="24"/>
                <w:szCs w:val="24"/>
              </w:rPr>
              <w:t> 3.	Раздел 1. Политика безопасности	</w:t>
            </w:r>
          </w:p>
          <w:p>
            <w:pPr>
              <w:jc w:val="both"/>
              <w:spacing w:after="0" w:line="240" w:lineRule="auto"/>
              <w:rPr>
                <w:sz w:val="24"/>
                <w:szCs w:val="24"/>
              </w:rPr>
            </w:pPr>
            <w:r>
              <w:rPr>
                <w:rFonts w:ascii="Times New Roman" w:hAnsi="Times New Roman" w:cs="Times New Roman"/>
                <w:color w:val="#000000"/>
                <w:sz w:val="24"/>
                <w:szCs w:val="24"/>
              </w:rPr>
              <w:t> 4.	Раздел 2. Организационные меры по обеспечению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5.	Раздел 3. Классификация ресурсов и их контроль</w:t>
            </w:r>
          </w:p>
          <w:p>
            <w:pPr>
              <w:jc w:val="both"/>
              <w:spacing w:after="0" w:line="240" w:lineRule="auto"/>
              <w:rPr>
                <w:sz w:val="24"/>
                <w:szCs w:val="24"/>
              </w:rPr>
            </w:pPr>
            <w:r>
              <w:rPr>
                <w:rFonts w:ascii="Times New Roman" w:hAnsi="Times New Roman" w:cs="Times New Roman"/>
                <w:color w:val="#000000"/>
                <w:sz w:val="24"/>
                <w:szCs w:val="24"/>
              </w:rPr>
              <w:t> 6.	Раздел 4. Безопасность персонала</w:t>
            </w:r>
          </w:p>
          <w:p>
            <w:pPr>
              <w:jc w:val="both"/>
              <w:spacing w:after="0" w:line="240" w:lineRule="auto"/>
              <w:rPr>
                <w:sz w:val="24"/>
                <w:szCs w:val="24"/>
              </w:rPr>
            </w:pPr>
            <w:r>
              <w:rPr>
                <w:rFonts w:ascii="Times New Roman" w:hAnsi="Times New Roman" w:cs="Times New Roman"/>
                <w:color w:val="#000000"/>
                <w:sz w:val="24"/>
                <w:szCs w:val="24"/>
              </w:rPr>
              <w:t> 7.	Раздел 5. Физическая безопасность</w:t>
            </w:r>
          </w:p>
          <w:p>
            <w:pPr>
              <w:jc w:val="both"/>
              <w:spacing w:after="0" w:line="240" w:lineRule="auto"/>
              <w:rPr>
                <w:sz w:val="24"/>
                <w:szCs w:val="24"/>
              </w:rPr>
            </w:pPr>
            <w:r>
              <w:rPr>
                <w:rFonts w:ascii="Times New Roman" w:hAnsi="Times New Roman" w:cs="Times New Roman"/>
                <w:color w:val="#000000"/>
                <w:sz w:val="24"/>
                <w:szCs w:val="24"/>
              </w:rPr>
              <w:t> 8.	Раздел 6. Администрирование компьютерных систем и вычислительных сетей</w:t>
            </w:r>
          </w:p>
          <w:p>
            <w:pPr>
              <w:jc w:val="both"/>
              <w:spacing w:after="0" w:line="240" w:lineRule="auto"/>
              <w:rPr>
                <w:sz w:val="24"/>
                <w:szCs w:val="24"/>
              </w:rPr>
            </w:pPr>
            <w:r>
              <w:rPr>
                <w:rFonts w:ascii="Times New Roman" w:hAnsi="Times New Roman" w:cs="Times New Roman"/>
                <w:color w:val="#000000"/>
                <w:sz w:val="24"/>
                <w:szCs w:val="24"/>
              </w:rPr>
              <w:t> 9.	Раздел 7. Управление доступом к системам</w:t>
            </w:r>
          </w:p>
          <w:p>
            <w:pPr>
              <w:jc w:val="both"/>
              <w:spacing w:after="0" w:line="240" w:lineRule="auto"/>
              <w:rPr>
                <w:sz w:val="24"/>
                <w:szCs w:val="24"/>
              </w:rPr>
            </w:pPr>
            <w:r>
              <w:rPr>
                <w:rFonts w:ascii="Times New Roman" w:hAnsi="Times New Roman" w:cs="Times New Roman"/>
                <w:color w:val="#000000"/>
                <w:sz w:val="24"/>
                <w:szCs w:val="24"/>
              </w:rPr>
              <w:t> 10.	Раздел 8. Разработка и сопровождение информационных систем</w:t>
            </w:r>
          </w:p>
          <w:p>
            <w:pPr>
              <w:jc w:val="both"/>
              <w:spacing w:after="0" w:line="240" w:lineRule="auto"/>
              <w:rPr>
                <w:sz w:val="24"/>
                <w:szCs w:val="24"/>
              </w:rPr>
            </w:pPr>
            <w:r>
              <w:rPr>
                <w:rFonts w:ascii="Times New Roman" w:hAnsi="Times New Roman" w:cs="Times New Roman"/>
                <w:color w:val="#000000"/>
                <w:sz w:val="24"/>
                <w:szCs w:val="24"/>
              </w:rPr>
              <w:t> 11.	Раздел 9. Планирование бесперебойной работы организации</w:t>
            </w:r>
          </w:p>
          <w:p>
            <w:pPr>
              <w:jc w:val="both"/>
              <w:spacing w:after="0" w:line="240" w:lineRule="auto"/>
              <w:rPr>
                <w:sz w:val="24"/>
                <w:szCs w:val="24"/>
              </w:rPr>
            </w:pPr>
            <w:r>
              <w:rPr>
                <w:rFonts w:ascii="Times New Roman" w:hAnsi="Times New Roman" w:cs="Times New Roman"/>
                <w:color w:val="#000000"/>
                <w:sz w:val="24"/>
                <w:szCs w:val="24"/>
              </w:rPr>
              <w:t> 12.	Раздел 10. Соответствие системы основным требованиям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«Аудит ИТ- инфраструктуры»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http://www.iprbookshop.ru/90200.html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Калянов,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978-5-4497-0561-7.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http://www.iprbookshop.ru/94864.html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автоматизированным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Маглинец,</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автоматизированным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http://www.iprbookshop.ru/89417.html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Рытов,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Голембиовская,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http://www.iprbookshop.ru/97630.html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0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2023-2024_ФГОС3++2023_Бак-ЗФО-ПИ(23)_plx_Аудит ИТ- инфраструктуры</dc:title>
  <dc:creator>FastReport.NET</dc:creator>
</cp:coreProperties>
</file>